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Педиатрия (ординатура, 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05:21 МСК · База обновлена: 25.07.2026, 04:45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Педиатрия (ординатура, 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Вызов участкового педиатра на дом к мальчику 12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приступообразный кашель, приступ удушья, свистящее дыхание.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 остро после прогулки в городском парке. Мама дала таблетку хлоропирамина, эффекта не последовало, состояние ребенка не улучшилось. По словам матери, ребёнок не мог свободно выдохнуть.</w:t>
      </w:r>
    </w:p>
    <w:p>
      <w:pPr>
        <w:spacing w:after="58"/>
      </w:pPr>
      <w:r>
        <w:rPr>
          <w:b w:val="0"/>
          <w:i w:val="0"/>
        </w:rPr>
        <w:t>Прошлой осенью (примерно год назад) был аналогичный приступ удушья на даче, который был купирован внутримышечным введение преднизолона и ингаляцией бронхолитика бригадой скорой помощи. После того этого к врачу семья не обращалась, плановая терапия не проводилась.</w:t>
      </w:r>
    </w:p>
    <w:p>
      <w:pPr>
        <w:spacing w:after="58"/>
      </w:pPr>
      <w:r>
        <w:rPr>
          <w:b w:val="0"/>
          <w:i w:val="0"/>
        </w:rPr>
        <w:t>В течение этого года периодически беспокоит сухой кашель при вдыхании резких запахов (парфюмерия, бытовая химия), несколько раз просыпался из-за кашля по ночам. Физическая активность (теннис) переносилась удовлетворительно, явных приступов во время игры не было.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Мальчик родился доношенным, с массой тела 3650 г, длиной 55 см.</w:t>
      </w:r>
    </w:p>
    <w:p>
      <w:pPr>
        <w:spacing w:after="58"/>
      </w:pPr>
      <w:r>
        <w:rPr>
          <w:b w:val="0"/>
          <w:i w:val="0"/>
        </w:rPr>
        <w:t>* Рос и развивался по возрасту.</w:t>
      </w:r>
    </w:p>
    <w:p>
      <w:pPr>
        <w:spacing w:after="58"/>
      </w:pPr>
      <w:r>
        <w:rPr>
          <w:b w:val="0"/>
          <w:i w:val="0"/>
        </w:rPr>
        <w:t>* Операций не было.</w:t>
      </w:r>
    </w:p>
    <w:p>
      <w:pPr>
        <w:spacing w:after="58"/>
      </w:pPr>
      <w:r>
        <w:rPr>
          <w:b w:val="0"/>
          <w:i w:val="0"/>
        </w:rPr>
        <w:t>* Прививки по календарю.</w:t>
      </w:r>
    </w:p>
    <w:p>
      <w:pPr>
        <w:spacing w:after="58"/>
      </w:pPr>
      <w:r>
        <w:rPr>
          <w:b w:val="0"/>
          <w:i w:val="0"/>
        </w:rPr>
        <w:t>* Болеет ОРВИ 4-5 раз в год, ангины 2 раза в год.</w:t>
      </w:r>
    </w:p>
    <w:p>
      <w:pPr>
        <w:spacing w:after="58"/>
      </w:pPr>
      <w:r>
        <w:rPr>
          <w:b w:val="0"/>
          <w:i w:val="0"/>
        </w:rPr>
        <w:t>* Занимается теннисом.</w:t>
      </w:r>
    </w:p>
    <w:p>
      <w:pPr>
        <w:spacing w:after="58"/>
      </w:pPr>
      <w:r>
        <w:rPr>
          <w:b w:val="0"/>
          <w:i w:val="0"/>
        </w:rPr>
        <w:t>* В 3 года– однократно крапивница после употребления шоколада, других явных пищевых реакций не было, лекарственной аллергии не зафиксировано.</w:t>
      </w:r>
    </w:p>
    <w:p>
      <w:pPr>
        <w:spacing w:after="58"/>
      </w:pPr>
      <w:r>
        <w:rPr>
          <w:b w:val="0"/>
          <w:i w:val="0"/>
        </w:rPr>
        <w:t>* Наследственный анамнез: по линии матери (поллиноз), у сестры 16 лет – атопический дерматит.</w:t>
      </w:r>
    </w:p>
    <w:p>
      <w:pPr>
        <w:spacing w:after="58"/>
      </w:pPr>
      <w:r>
        <w:rPr>
          <w:b w:val="0"/>
          <w:i w:val="0"/>
        </w:rPr>
        <w:t>* Жилищные условия: удовлетворительные. В комнате ребёнка много домашних растений. Домашних животных нет.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ребенка тяжёлое. Положение во время осмотра сидя на стуле, с наклоном туловища вперёд– поза «наездника». Обращает на себя внимание цианоз носогубного треугольника. Грудная клетка расширена в передне-заднем размере, плечи приподняты. При перкуссии лёгких над всеми полями коробочный звук. Аускультативно -дыхание ослабленное, выслушивается масса свистящих и жужжащих сухих хрипов по всем полям. ЧДД = 38 в мин. SpO₂ = 88%. ЧСС = 132 в мин, тоны сердца ритмичные, без шумов. Кожные покровы и видимые слизистые чистые, высыпаний нет, влажность нормальная. Живот мягкий, безболезненный, печень и селезёнка не увеличены.</w:t>
      </w:r>
    </w:p>
    <w:p>
      <w:pPr>
        <w:spacing w:after="58"/>
      </w:pPr>
      <w:r>
        <w:rPr>
          <w:b w:val="0"/>
          <w:i w:val="0"/>
        </w:rPr>
        <w:t>После осмотра была вызвана бригада скорой медицинской помощи, ребенок был госпитализирован в стационар.</w:t>
      </w:r>
    </w:p>
    <w:p>
      <w:r>
        <w:drawing>
          <wp:inline xmlns:a="http://schemas.openxmlformats.org/drawingml/2006/main" xmlns:pic="http://schemas.openxmlformats.org/drawingml/2006/picture">
            <wp:extent cx="5303520" cy="3603812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5d343d7c8346ece17f8a12b1b51f843f243d1b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60381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Предварительный диагноз для данного ребенка может быть сформулирован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Бронхиальная астма, атопическая форма, интермиттирующее течение, обострение тяжелой степени, ДН II 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обструктивный бронхит, инфекционно-аллергическая форма, среднетяжелое течение, ДН II 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Гастроэзофагеальный рефлюкс с бронхообструкцией, рецидивирующее течение, обострение средней тяжести, ДН I 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Бронхиальная астма, атопическая форма, персистирующее течение средней степени тяжести, легкое обострение, ДН 0-I ст.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Бронхиальная астма, атопическая форма, интермиттирующее течение, обострение тяжелой степени, ДН II ст.</w:t>
      </w:r>
    </w:p>
    <w:p>
      <w:pPr>
        <w:ind w:left="504"/>
      </w:pPr>
      <w:r>
        <w:rPr>
          <w:b w:val="0"/>
          <w:i/>
        </w:rPr>
        <w:t>Ключевым моментом в диагностике бронхиальной астмы у детей является наличие в анамнезе повторяющихся эпизодов свистящего дыхания (обычно более трех). Наличие атопии (аллергический ринит, пищевая аллергия или атопический дерматит) и отягощенный семейный анамнез свидетельствуют, чаще всего, в пользу диагноза.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Аллергическая (атопическая) БА: наиболее легко распознаваемый фенотип, при котором БА обычно начинается в детстве, связана с наличием других аллергических болезней (атопический дерматит, аллергический ринит, пищевая аллергия) у пациента или родственников. Для этого фенотипа характерно эозинофильное воспаление дыхательных путей и хороший ответ на терапию ингаляционными глюкокортикостероидами (ИГКС).</w:t>
        <w:br/>
        <w:br/>
      </w:r>
      <w:hyperlink r:id="rId24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br/>
        <w:br/>
        <w:t>Интермиттирующее течение – дневные симптомы реже 1 раза в неделю, ночные симптомы не чаще 2-х раз в месяц, обострения короткие, ОФВ1 или ПСВ ≥ 80% от должного, разброс ПСВ или ОФВ1 &lt; 20%. У данного ребенка редкие симптомы (предыдущий приступ год назад, ночные симптомы редкие). Он не получал базисной терапии и вел обычный образ жизни (теннис). Тяжелое обострение не противоречит интермиттирующему течению астмы.</w:t>
        <w:br/>
        <w:br/>
      </w:r>
      <w:hyperlink r:id="rId25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br/>
        <w:br/>
        <w:t>Ключевые критерии оценки тяжести обострения: SpO₂ 88% (&lt;90%), ЧДД 38, ЧСС 132, невозможность говорить фразами, цианоз, положение ортопноэ. Данные показатели соответствует тяжелому обострению и ДН II</w:t>
        <w:br/>
        <w:br/>
      </w:r>
      <w:hyperlink r:id="rId26">
        <w:r>
          <w:rPr>
            <w:color w:val="173C49"/>
            <w:u w:val="single"/>
          </w:rPr>
          <w:t>(5)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(6)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Дифференциальную диагностику развившегося состояния у данного ребенка 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аспирацией инородного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бронхо-легочной дисплазией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муковисцидозом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острым бронхиолитом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аспирацией инородного тела</w:t>
      </w:r>
    </w:p>
    <w:p>
      <w:pPr>
        <w:ind w:left="504"/>
      </w:pPr>
      <w:r>
        <w:rPr>
          <w:b w:val="0"/>
          <w:i/>
        </w:rPr>
        <w:t>Дифференциальный диагноз у детей можно проводить с врожденным пороком сердца, аспирацией инородного тела, гастроэзофагеальным рефлюксом и пр.</w:t>
        <w:br/>
        <w:br/>
        <w:t>Аспирация — классическая «маска» БА при внезапном начале. Остальные варианты не подходят из-за острого начала и отсутствия признаков.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лабораторным тестам, рекомендованным для установления причинно-следственных факторов данного заболевания,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посев крови на стерильность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крови на АСЛ-О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специфических IgЕ к пыльцевым аллергенам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определение специфических IgЕ к пыльцевым аллергенам</w:t>
      </w:r>
    </w:p>
    <w:p>
      <w:pPr>
        <w:ind w:left="504"/>
      </w:pPr>
      <w:r>
        <w:rPr>
          <w:b w:val="0"/>
          <w:i/>
        </w:rPr>
        <w:t>Пациенту может проводиться или определение уровня специфических иммуноглобулинов Е в крови (Исследование уровня антител к антигенам растительного, животного и химического происхождения в крови) или кожные пробы (Накожные исследования реакции на аллергены) в зависимости от индивидуального состояния, переносимости, возраста, аллергенного спектра, получаемой терапии (см. комментарий к тезису-рекомендации о Накожных исследованиях реакции на аллергены.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Одним из мероприятий неотложной помощи данному больному в связи с тяжелым обострением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оксигенотерапия (введение кислорода 4-5 л/мин)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введение антигистаминного препарата внутримышечно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назначение теофиллина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ингаляция кромонами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оксигенотерапия (введение кислорода 4-5 л/мин)</w:t>
      </w:r>
    </w:p>
    <w:p>
      <w:pPr>
        <w:ind w:left="504"/>
      </w:pPr>
      <w:r>
        <w:rPr>
          <w:b w:val="0"/>
          <w:i/>
        </w:rPr>
        <w:t>Пациентам с обострением БА и SрО2&lt;90% рекомендуется ингаляторное введение кислорода (4-5 литра в минуту через назальные канюли).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тяжесть обострения, для купирования приступа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преднизолон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монтелукаст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хлоропирамин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омализумаб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преднизолон</w:t>
      </w:r>
    </w:p>
    <w:p>
      <w:pPr>
        <w:ind w:left="504"/>
      </w:pPr>
      <w:r>
        <w:rPr>
          <w:b w:val="0"/>
          <w:i/>
        </w:rPr>
        <w:t>Пациентам с тяжелым обострением БА рекомендуется назначение преднизолона (или его эквивалента) в дозе 40-50 мг/сут 1 раз в сутки сроком на 5-7 дней.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оценки эффективности терапии и решения вопроса о возможности снижения ступени лечения данному ребенку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электрокардиографию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спирометрию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спирометрию</w:t>
      </w:r>
    </w:p>
    <w:p>
      <w:pPr>
        <w:ind w:left="504"/>
      </w:pPr>
      <w:r>
        <w:rPr>
          <w:b w:val="0"/>
          <w:i/>
        </w:rPr>
        <w:t>Оценку функции внешнего дыхания в условиях форсированного выдоха рекомендуется осуществлять у детей с подозрением на БА в возрасте старше 5-6 лет (спирометрия: исследование неспровоцированных дыхательных объемов и потоков, исследование дыхательных объемов с применением лекарственных препаратов) и для мониторинга астмы.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Окончательный диагноз, учитывая ответ на проведенную терапию, может быть сформулирован,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Бронхиальная астма, атопическая форма, легкое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Бронхиальная астма, атопическая форма, среднетяжелое течение, неконтролируемая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Острая респираторная вирусная инфекция, бронхообструктивный синдром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Бронхиальная астма, атопическая форма, среднетяжелое течение, контролируемая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Бронхиальная астма, атопическая форма, среднетяжелое течение, контролируемая</w:t>
      </w:r>
    </w:p>
    <w:p>
      <w:pPr>
        <w:ind w:left="504"/>
      </w:pPr>
      <w:r>
        <w:rPr>
          <w:b w:val="0"/>
          <w:i/>
        </w:rPr>
        <w:t>Ключевым моментом в диагностике бронхиальной астмы у детей является наличие в анамнезе повторяющихся эпизодов свистящего дыхания (обычно более трех). Наличие атопии (аллергический ринит, пищевая аллергия или атопический дерматит) и отягощенный семейный анамнез свидетельствуют, чаще всего, в пользу диагноза.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Среднетяжелая БА: хорошо контролируется на фоне терапии 3 или 4 ступени по GINA. У данного ребенка полный контроль достигнут на 3 ступени.</w:t>
        <w:br/>
        <w:br/>
      </w:r>
      <w:hyperlink r:id="rId35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br/>
        <w:br/>
        <w:t>Контроль БА означает отсутствие клинических проявлений заболевания. Критериями полного контроля являются: отсутствие дневных симптомов чаще 2-х раз в неделю; отсутствие ночных пробуждений из-за БА; отсутствие потребности в препарате для купирования симптомов чаще 2-х раз в неделю отсутствие любого ограничения активности из-за БА У данного пациента наряду с полным отсутствием клинических проявлений нормализовались показатели спирометрии, отрицательный БДТ.</w:t>
        <w:br/>
        <w:br/>
      </w:r>
      <w:hyperlink r:id="rId36">
        <w:r>
          <w:rPr>
            <w:color w:val="173C49"/>
            <w:u w:val="single"/>
          </w:rPr>
          <w:t>(4)</w:t>
        </w:r>
      </w:hyperlink>
    </w:p>
    <w:p>
      <w:pPr>
        <w:pStyle w:val="Heading2"/>
      </w:pPr>
      <w:r>
        <w:t>6.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дальнейшем для купирования симптомов заболевания данному пациенту должна быть рекомендована комбинация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сальметерола, будесонида, сальбутамола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низких доз ингаляционных глюкокортикостероидов с формотеролом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атропина сульфата, кетотифена, недокромила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тиотропия бромида, сальметерола, эфедрина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низких доз ингаляционных глюкокортикостероидов с формотеролом</w:t>
      </w:r>
    </w:p>
    <w:p>
      <w:pPr>
        <w:ind w:left="504"/>
      </w:pPr>
      <w:r>
        <w:rPr>
          <w:b w:val="0"/>
          <w:i/>
        </w:rPr>
        <w:t>Препарат для купирования симптомов: ИГКС + формотерол.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сохраняющемся контроле за симптомами бронхиальной астмы на фоне проводимой терапии будесонид/формотерол 160/4,5 мкг 2 ингаляции в сутки + дополнительные ингаляции по потребности в течение следующих месяцев данному ребенку для снижения ступени терапии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неседативные антигистаминные препараты и сальбутамол по потребности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аллергенспецифическую иммунотерапию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антилейкотриеновые препараты (монтелукаст)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комбинированную терапию ИГКС + формотрерол по потребности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комбинированную терапию ИГКС + формотрерол по потребности</w:t>
      </w:r>
    </w:p>
    <w:p>
      <w:pPr>
        <w:ind w:left="504"/>
      </w:pPr>
      <w:r>
        <w:rPr>
          <w:b w:val="0"/>
          <w:i/>
        </w:rPr>
        <w:t>Пациент использует низкие дозы ИГКС+формотерол (будесонид/формотерол 160/4,5 мкг) только при возникновении симптомов. Этот режим соответствует ступени 1-2 по GINA и является предпочтительным для снижения терапии у пациентов с контролируемой астмой при достижении контроля на 3 ступени.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У всех пациентов с бронхиальной астмой для снижения риска тяжёлых обострений в качестве основы терапии должны использоваться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интраназальные глюкокортикостероиды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антигистаминные препараты нового поколения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муколитические препараты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ингаляционые глюкокортикостероиды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ингаляционые глюкокортикостероиды</w:t>
      </w:r>
    </w:p>
    <w:p>
      <w:pPr>
        <w:ind w:left="504"/>
      </w:pPr>
      <w:r>
        <w:rPr>
          <w:b w:val="0"/>
          <w:i/>
        </w:rPr>
        <w:t>В настоящее время всем взрослым и подросткам с БА рекомендуется применять противовоспалительную терапию (низкие дозы ИГКС) симптоматически или регулярно для снижения риска тяжелых обострений БА.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7.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Одним из факторов риска обострения бронхиальной астмы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недостаточная физическая активность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употребление большого количества сладкого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избыточное использование короткодействующих ß2-агонистов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избыточное использование короткодействующих ß2-агонистов</w:t>
      </w:r>
    </w:p>
    <w:p>
      <w:pPr>
        <w:ind w:left="504"/>
      </w:pPr>
      <w:r>
        <w:rPr>
          <w:b w:val="0"/>
          <w:i/>
        </w:rPr>
        <w:t>К потенциально модифицируемым независимым факторам риска обострения бронхиальной астмы относится чрезмерное использование КДБА (&gt;1 ингалятора 200 доз/месяц).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Реабилитация ребенка с бронхиальной астмой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тренировки с аэробной нагрузкой, плавание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психотерапию, снижение физической нагрузки, ограничение контактов со сверстниками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ограничения физической нагрузки, организацию обучения на дому, диетотерапию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диетотерапию, фитотерапию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тренировки с аэробной нагрузкой, плавание</w:t>
      </w:r>
    </w:p>
    <w:p>
      <w:pPr>
        <w:ind w:left="504"/>
      </w:pPr>
      <w:r>
        <w:rPr>
          <w:b w:val="0"/>
          <w:i/>
        </w:rPr>
        <w:t>По имеющимся наблюдениям применение тренировки с аэробной нагрузкой, плавание, тренировка инспираторной мускулатуры с пороговой дозированной нагрузкой улучшают течение БА.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Педиатрия (ординатура, 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359_24/" TargetMode="External"/><Relationship Id="rId22" Type="http://schemas.openxmlformats.org/officeDocument/2006/relationships/hyperlink" Target="https://library.mededtech.ru/rest/documents/KP359_24/#paragraph_ck4a2l" TargetMode="External"/><Relationship Id="rId23" Type="http://schemas.openxmlformats.org/officeDocument/2006/relationships/hyperlink" Target="https://library.mededtech.ru/rest/documents/KP359_24/#list_item_saocnq" TargetMode="External"/><Relationship Id="rId24" Type="http://schemas.openxmlformats.org/officeDocument/2006/relationships/hyperlink" Target="https://library.mededtech.ru/rest/documents/KP359_24/#paragraph_90us2i" TargetMode="External"/><Relationship Id="rId25" Type="http://schemas.openxmlformats.org/officeDocument/2006/relationships/hyperlink" Target="https://library.mededtech.ru/rest/documents/KP359_24/#table2" TargetMode="External"/><Relationship Id="rId26" Type="http://schemas.openxmlformats.org/officeDocument/2006/relationships/hyperlink" Target="https://library.mededtech.ru/rest/documents/KP359_24/#table3" TargetMode="External"/><Relationship Id="rId27" Type="http://schemas.openxmlformats.org/officeDocument/2006/relationships/hyperlink" Target="https://library.mededtech.ru/rest/documents/KP359_24/#table5" TargetMode="External"/><Relationship Id="rId28" Type="http://schemas.openxmlformats.org/officeDocument/2006/relationships/hyperlink" Target="https://library.mededtech.ru/rest/documents/KP359_24/#paragraph_p2i0lf" TargetMode="External"/><Relationship Id="rId29" Type="http://schemas.openxmlformats.org/officeDocument/2006/relationships/image" Target="media/image6.png"/><Relationship Id="rId30" Type="http://schemas.openxmlformats.org/officeDocument/2006/relationships/hyperlink" Target="https://library.mededtech.ru/rest/documents/KP359_24/#list_item_qtf9m7" TargetMode="External"/><Relationship Id="rId31" Type="http://schemas.openxmlformats.org/officeDocument/2006/relationships/hyperlink" Target="https://library.mededtech.ru/rest/documents/KP359_24/#paragraph_g37ebh" TargetMode="External"/><Relationship Id="rId32" Type="http://schemas.openxmlformats.org/officeDocument/2006/relationships/hyperlink" Target="https://library.mededtech.ru/rest/documents/KP359_24/#paragraph_v3teb5" TargetMode="External"/><Relationship Id="rId33" Type="http://schemas.openxmlformats.org/officeDocument/2006/relationships/image" Target="media/image7.png"/><Relationship Id="rId34" Type="http://schemas.openxmlformats.org/officeDocument/2006/relationships/hyperlink" Target="https://library.mededtech.ru/rest/documents/KP359_24/#list_item_p40kl5" TargetMode="External"/><Relationship Id="rId35" Type="http://schemas.openxmlformats.org/officeDocument/2006/relationships/hyperlink" Target="https://library.mededtech.ru/rest/documents/KP359_24/#paragraph_qb1u19" TargetMode="External"/><Relationship Id="rId36" Type="http://schemas.openxmlformats.org/officeDocument/2006/relationships/hyperlink" Target="https://library.mededtech.ru/rest/documents/KP359_24/#paragraph_r8tmut" TargetMode="External"/><Relationship Id="rId37" Type="http://schemas.openxmlformats.org/officeDocument/2006/relationships/image" Target="media/image8.png"/><Relationship Id="rId38" Type="http://schemas.openxmlformats.org/officeDocument/2006/relationships/hyperlink" Target="https://library.mededtech.ru/rest/documents/KP359_24/#pic1" TargetMode="External"/><Relationship Id="rId39" Type="http://schemas.openxmlformats.org/officeDocument/2006/relationships/hyperlink" Target="https://library.mededtech.ru/rest/documents/KP359_24/#table7" TargetMode="External"/><Relationship Id="rId40" Type="http://schemas.openxmlformats.org/officeDocument/2006/relationships/hyperlink" Target="https://library.mededtech.ru/rest/documents/KP359_24/#paragraph_s0473f" TargetMode="External"/><Relationship Id="rId41" Type="http://schemas.openxmlformats.org/officeDocument/2006/relationships/hyperlink" Target="https://library.mededtech.ru/rest/documents/KP359_24/#paragraph_727vc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